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F9AEE">
      <w:pPr>
        <w:spacing w:line="440" w:lineRule="exact"/>
        <w:jc w:val="center"/>
        <w:rPr>
          <w:rFonts w:hint="eastAsia" w:ascii="Times New Roman" w:hAnsi="Times New Roman" w:eastAsia="方正小标宋简体" w:cs="Times New Roman"/>
          <w:sz w:val="32"/>
          <w:szCs w:val="32"/>
        </w:rPr>
      </w:pPr>
      <w:r>
        <w:rPr>
          <w:rFonts w:hint="eastAsia" w:ascii="Times New Roman" w:hAnsi="Times New Roman" w:eastAsia="方正小标宋简体" w:cs="Times New Roman"/>
          <w:sz w:val="32"/>
          <w:szCs w:val="32"/>
        </w:rPr>
        <w:t>2026年北京市机动车辆制动液产品质量监督抽查实施细则</w:t>
      </w:r>
    </w:p>
    <w:p w14:paraId="715D87EB">
      <w:pPr>
        <w:widowControl w:val="0"/>
        <w:wordWrap/>
        <w:adjustRightInd/>
        <w:snapToGrid/>
        <w:spacing w:line="240" w:lineRule="auto"/>
        <w:ind w:firstLine="440" w:firstLineChars="200"/>
        <w:textAlignment w:val="auto"/>
        <w:rPr>
          <w:rFonts w:hint="eastAsia" w:ascii="Times New Roman" w:hAnsi="Times New Roman" w:eastAsia="宋体" w:cs="宋体"/>
          <w:sz w:val="22"/>
          <w:szCs w:val="28"/>
        </w:rPr>
      </w:pPr>
    </w:p>
    <w:p w14:paraId="1492C539">
      <w:pPr>
        <w:spacing w:line="440" w:lineRule="exact"/>
        <w:rPr>
          <w:rFonts w:hint="eastAsia"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1 抽样方法</w:t>
      </w:r>
    </w:p>
    <w:p w14:paraId="3F0D76AF">
      <w:pPr>
        <w:spacing w:line="44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以随机抽样的方式在被抽样生产者、销售者的待销产品中抽取。</w:t>
      </w:r>
    </w:p>
    <w:p w14:paraId="0CC9C2F2">
      <w:pPr>
        <w:spacing w:line="44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随机数一般可使用随机数表等方法产生。</w:t>
      </w:r>
    </w:p>
    <w:p w14:paraId="71E9998B">
      <w:pPr>
        <w:spacing w:line="440" w:lineRule="exact"/>
        <w:ind w:firstLine="420" w:firstLineChars="2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rPr>
        <w:t>抽样基数满足抽样数量即可，每批次产品抽取不少于2个独立包装，总量不</w:t>
      </w:r>
      <w:r>
        <w:rPr>
          <w:rFonts w:hint="eastAsia" w:ascii="Times New Roman" w:hAnsi="Times New Roman" w:eastAsia="宋体" w:cs="Times New Roman"/>
          <w:szCs w:val="21"/>
          <w:lang w:val="en-US" w:eastAsia="zh-CN"/>
        </w:rPr>
        <w:t>少</w:t>
      </w:r>
      <w:r>
        <w:rPr>
          <w:rFonts w:hint="eastAsia" w:ascii="Times New Roman" w:hAnsi="Times New Roman" w:eastAsia="宋体" w:cs="Times New Roman"/>
          <w:szCs w:val="21"/>
        </w:rPr>
        <w:t>于</w:t>
      </w:r>
      <w:r>
        <w:rPr>
          <w:rFonts w:hint="eastAsia" w:ascii="Times New Roman" w:hAnsi="Times New Roman" w:eastAsia="宋体" w:cs="Times New Roman"/>
          <w:szCs w:val="21"/>
          <w:lang w:val="en-US" w:eastAsia="zh-CN"/>
        </w:rPr>
        <w:t>1.6</w:t>
      </w:r>
      <w:r>
        <w:rPr>
          <w:rFonts w:hint="eastAsia" w:ascii="Times New Roman" w:hAnsi="Times New Roman" w:eastAsia="宋体" w:cs="Times New Roman"/>
          <w:szCs w:val="21"/>
        </w:rPr>
        <w:t>L的样品，</w:t>
      </w:r>
      <w:r>
        <w:rPr>
          <w:rFonts w:hint="eastAsia" w:ascii="Times New Roman" w:hAnsi="Times New Roman" w:eastAsia="宋体" w:cs="Times New Roman"/>
          <w:szCs w:val="21"/>
          <w:lang w:val="en-US" w:eastAsia="zh-CN"/>
        </w:rPr>
        <w:t>其中0.8L为检验用样品，另0.8L为备用样品。</w:t>
      </w:r>
    </w:p>
    <w:p w14:paraId="56B690AE">
      <w:pPr>
        <w:spacing w:line="240" w:lineRule="auto"/>
        <w:ind w:firstLine="420" w:firstLineChars="200"/>
        <w:rPr>
          <w:rFonts w:hint="eastAsia" w:ascii="Times New Roman" w:hAnsi="Times New Roman" w:eastAsia="宋体" w:cs="Times New Roman"/>
          <w:szCs w:val="21"/>
          <w:lang w:val="en-US" w:eastAsia="zh-CN"/>
        </w:rPr>
      </w:pPr>
    </w:p>
    <w:p w14:paraId="44FA93E9">
      <w:pPr>
        <w:spacing w:line="440" w:lineRule="exact"/>
        <w:rPr>
          <w:rFonts w:hint="eastAsia"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2 检验依据</w:t>
      </w:r>
    </w:p>
    <w:p w14:paraId="7F5FBCDA">
      <w:pPr>
        <w:widowControl w:val="0"/>
        <w:wordWrap/>
        <w:adjustRightInd/>
        <w:snapToGrid/>
        <w:spacing w:line="240" w:lineRule="auto"/>
        <w:textAlignment w:val="auto"/>
        <w:rPr>
          <w:rFonts w:hint="eastAsia" w:ascii="Times New Roman" w:hAnsi="Times New Roman" w:eastAsia="黑体" w:cs="Times New Roman"/>
          <w:szCs w:val="21"/>
          <w:lang w:val="en-US" w:eastAsia="zh-CN"/>
        </w:rPr>
      </w:pPr>
    </w:p>
    <w:tbl>
      <w:tblPr>
        <w:tblStyle w:val="7"/>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3507"/>
        <w:gridCol w:w="2128"/>
        <w:gridCol w:w="2628"/>
      </w:tblGrid>
      <w:tr w14:paraId="6CDC2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794" w:type="dxa"/>
            <w:tcMar>
              <w:top w:w="-1" w:type="dxa"/>
              <w:left w:w="-1" w:type="dxa"/>
              <w:bottom w:w="-1" w:type="dxa"/>
              <w:right w:w="-1" w:type="dxa"/>
            </w:tcMar>
            <w:vAlign w:val="center"/>
          </w:tcPr>
          <w:p w14:paraId="7221236F">
            <w:pPr>
              <w:widowControl w:val="0"/>
              <w:wordWrap/>
              <w:adjustRightInd/>
              <w:snapToGrid/>
              <w:spacing w:line="360" w:lineRule="auto"/>
              <w:ind w:left="0" w:leftChars="0" w:right="0" w:firstLine="0" w:firstLineChars="0"/>
              <w:jc w:val="center"/>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序号</w:t>
            </w:r>
          </w:p>
        </w:tc>
        <w:tc>
          <w:tcPr>
            <w:tcW w:w="3507" w:type="dxa"/>
            <w:tcMar>
              <w:top w:w="-1" w:type="dxa"/>
              <w:left w:w="-1" w:type="dxa"/>
              <w:bottom w:w="-1" w:type="dxa"/>
              <w:right w:w="-1" w:type="dxa"/>
            </w:tcMar>
            <w:vAlign w:val="center"/>
          </w:tcPr>
          <w:p w14:paraId="434216B4">
            <w:pPr>
              <w:widowControl w:val="0"/>
              <w:wordWrap/>
              <w:adjustRightInd/>
              <w:snapToGrid/>
              <w:spacing w:line="360" w:lineRule="auto"/>
              <w:ind w:left="0" w:leftChars="0" w:right="0" w:firstLine="0" w:firstLineChars="0"/>
              <w:jc w:val="center"/>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检验项目</w:t>
            </w:r>
          </w:p>
        </w:tc>
        <w:tc>
          <w:tcPr>
            <w:tcW w:w="2128" w:type="dxa"/>
            <w:tcMar>
              <w:top w:w="-1" w:type="dxa"/>
              <w:left w:w="-1" w:type="dxa"/>
              <w:bottom w:w="-1" w:type="dxa"/>
              <w:right w:w="-1" w:type="dxa"/>
            </w:tcMar>
            <w:vAlign w:val="center"/>
          </w:tcPr>
          <w:p w14:paraId="19D7F310">
            <w:pPr>
              <w:widowControl w:val="0"/>
              <w:wordWrap/>
              <w:adjustRightInd/>
              <w:snapToGrid/>
              <w:spacing w:line="360" w:lineRule="auto"/>
              <w:ind w:left="0" w:leftChars="0" w:right="0" w:firstLine="0" w:firstLineChars="0"/>
              <w:jc w:val="center"/>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检验依据</w:t>
            </w:r>
          </w:p>
        </w:tc>
        <w:tc>
          <w:tcPr>
            <w:tcW w:w="2628" w:type="dxa"/>
            <w:tcMar>
              <w:top w:w="-1" w:type="dxa"/>
              <w:left w:w="-1" w:type="dxa"/>
              <w:bottom w:w="-1" w:type="dxa"/>
              <w:right w:w="-1" w:type="dxa"/>
            </w:tcMar>
            <w:vAlign w:val="center"/>
          </w:tcPr>
          <w:p w14:paraId="2CD48467">
            <w:pPr>
              <w:widowControl w:val="0"/>
              <w:wordWrap/>
              <w:adjustRightInd/>
              <w:snapToGrid/>
              <w:spacing w:line="360" w:lineRule="auto"/>
              <w:ind w:left="0" w:leftChars="0" w:right="0" w:firstLine="0" w:firstLine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检验方法</w:t>
            </w:r>
          </w:p>
        </w:tc>
      </w:tr>
      <w:tr w14:paraId="4CA35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blHeader/>
          <w:jc w:val="center"/>
        </w:trPr>
        <w:tc>
          <w:tcPr>
            <w:tcW w:w="794" w:type="dxa"/>
            <w:tcMar>
              <w:top w:w="-1" w:type="dxa"/>
              <w:left w:w="-1" w:type="dxa"/>
              <w:bottom w:w="-1" w:type="dxa"/>
              <w:right w:w="-1" w:type="dxa"/>
            </w:tcMar>
            <w:vAlign w:val="center"/>
          </w:tcPr>
          <w:p w14:paraId="158E5B6B">
            <w:pPr>
              <w:widowControl w:val="0"/>
              <w:wordWrap/>
              <w:adjustRightInd/>
              <w:snapToGrid/>
              <w:spacing w:line="360" w:lineRule="auto"/>
              <w:ind w:left="0" w:leftChars="0" w:right="0" w:firstLine="0" w:firstLineChars="0"/>
              <w:jc w:val="center"/>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w:t>
            </w:r>
          </w:p>
        </w:tc>
        <w:tc>
          <w:tcPr>
            <w:tcW w:w="3507" w:type="dxa"/>
            <w:tcMar>
              <w:top w:w="-1" w:type="dxa"/>
              <w:left w:w="-1" w:type="dxa"/>
              <w:bottom w:w="-1" w:type="dxa"/>
              <w:right w:w="-1" w:type="dxa"/>
            </w:tcMar>
            <w:vAlign w:val="center"/>
          </w:tcPr>
          <w:p w14:paraId="465E7CE7">
            <w:pPr>
              <w:widowControl w:val="0"/>
              <w:wordWrap/>
              <w:adjustRightInd/>
              <w:snapToGrid/>
              <w:spacing w:line="360" w:lineRule="auto"/>
              <w:ind w:left="0" w:leftChars="0" w:right="0" w:firstLine="0" w:firstLine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运动黏度（-40℃、100℃）</w:t>
            </w:r>
          </w:p>
        </w:tc>
        <w:tc>
          <w:tcPr>
            <w:tcW w:w="2128" w:type="dxa"/>
            <w:tcMar>
              <w:top w:w="-1" w:type="dxa"/>
              <w:left w:w="-1" w:type="dxa"/>
              <w:bottom w:w="-1" w:type="dxa"/>
              <w:right w:w="-1" w:type="dxa"/>
            </w:tcMar>
            <w:vAlign w:val="center"/>
          </w:tcPr>
          <w:p w14:paraId="41F1EEF6">
            <w:pPr>
              <w:widowControl w:val="0"/>
              <w:wordWrap/>
              <w:adjustRightInd/>
              <w:snapToGrid/>
              <w:spacing w:line="360" w:lineRule="auto"/>
              <w:ind w:left="0" w:leftChars="0" w:right="0" w:firstLine="0" w:firstLineChars="0"/>
              <w:jc w:val="center"/>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GB 12981—2012</w:t>
            </w:r>
          </w:p>
        </w:tc>
        <w:tc>
          <w:tcPr>
            <w:tcW w:w="2628" w:type="dxa"/>
            <w:tcMar>
              <w:top w:w="-1" w:type="dxa"/>
              <w:left w:w="-1" w:type="dxa"/>
              <w:bottom w:w="-1" w:type="dxa"/>
              <w:right w:w="-1" w:type="dxa"/>
            </w:tcMar>
            <w:vAlign w:val="center"/>
          </w:tcPr>
          <w:p w14:paraId="2926181B">
            <w:pPr>
              <w:widowControl w:val="0"/>
              <w:wordWrap/>
              <w:adjustRightInd/>
              <w:snapToGrid/>
              <w:spacing w:line="360" w:lineRule="auto"/>
              <w:ind w:left="0" w:leftChars="0" w:right="0" w:firstLine="0" w:firstLineChars="0"/>
              <w:jc w:val="center"/>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GB/T 265—1988</w:t>
            </w:r>
          </w:p>
        </w:tc>
      </w:tr>
      <w:tr w14:paraId="30C23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794" w:type="dxa"/>
            <w:tcMar>
              <w:top w:w="-1" w:type="dxa"/>
              <w:left w:w="-1" w:type="dxa"/>
              <w:bottom w:w="-1" w:type="dxa"/>
              <w:right w:w="-1" w:type="dxa"/>
            </w:tcMar>
            <w:vAlign w:val="center"/>
          </w:tcPr>
          <w:p w14:paraId="3C1B39F1">
            <w:pPr>
              <w:widowControl w:val="0"/>
              <w:wordWrap/>
              <w:adjustRightInd/>
              <w:snapToGrid/>
              <w:spacing w:line="360" w:lineRule="auto"/>
              <w:ind w:left="0" w:leftChars="0" w:right="0" w:firstLine="0" w:firstLineChars="0"/>
              <w:jc w:val="center"/>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w:t>
            </w:r>
          </w:p>
        </w:tc>
        <w:tc>
          <w:tcPr>
            <w:tcW w:w="3507" w:type="dxa"/>
            <w:tcMar>
              <w:top w:w="-1" w:type="dxa"/>
              <w:left w:w="-1" w:type="dxa"/>
              <w:bottom w:w="-1" w:type="dxa"/>
              <w:right w:w="-1" w:type="dxa"/>
            </w:tcMar>
            <w:vAlign w:val="center"/>
          </w:tcPr>
          <w:p w14:paraId="646D47CF">
            <w:pPr>
              <w:widowControl w:val="0"/>
              <w:wordWrap/>
              <w:adjustRightInd/>
              <w:snapToGrid/>
              <w:spacing w:line="360" w:lineRule="auto"/>
              <w:ind w:left="0" w:leftChars="0" w:right="0" w:firstLine="0" w:firstLineChars="0"/>
              <w:jc w:val="center"/>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平衡回流沸点（ERBP）</w:t>
            </w:r>
          </w:p>
        </w:tc>
        <w:tc>
          <w:tcPr>
            <w:tcW w:w="2128" w:type="dxa"/>
            <w:tcMar>
              <w:top w:w="-1" w:type="dxa"/>
              <w:left w:w="-1" w:type="dxa"/>
              <w:bottom w:w="-1" w:type="dxa"/>
              <w:right w:w="-1" w:type="dxa"/>
            </w:tcMar>
            <w:vAlign w:val="center"/>
          </w:tcPr>
          <w:p w14:paraId="40F89E4A">
            <w:pPr>
              <w:widowControl w:val="0"/>
              <w:wordWrap/>
              <w:adjustRightInd/>
              <w:snapToGrid/>
              <w:spacing w:line="360" w:lineRule="auto"/>
              <w:ind w:left="0" w:leftChars="0" w:right="0" w:firstLine="0" w:firstLineChars="0"/>
              <w:jc w:val="center"/>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GB 12981—2012</w:t>
            </w:r>
          </w:p>
        </w:tc>
        <w:tc>
          <w:tcPr>
            <w:tcW w:w="2628" w:type="dxa"/>
            <w:tcMar>
              <w:top w:w="-1" w:type="dxa"/>
              <w:left w:w="-1" w:type="dxa"/>
              <w:bottom w:w="-1" w:type="dxa"/>
              <w:right w:w="-1" w:type="dxa"/>
            </w:tcMar>
            <w:vAlign w:val="center"/>
          </w:tcPr>
          <w:p w14:paraId="2FEF6B22">
            <w:pPr>
              <w:widowControl w:val="0"/>
              <w:wordWrap/>
              <w:adjustRightInd/>
              <w:snapToGrid/>
              <w:spacing w:line="360" w:lineRule="auto"/>
              <w:ind w:left="0" w:leftChars="0" w:right="0" w:firstLine="0" w:firstLineChars="0"/>
              <w:jc w:val="center"/>
              <w:textAlignment w:val="auto"/>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sz w:val="21"/>
                <w:szCs w:val="21"/>
                <w:lang w:val="en-US" w:eastAsia="zh-CN"/>
              </w:rPr>
              <w:t>NB/SH/T 0430—2019</w:t>
            </w:r>
          </w:p>
        </w:tc>
      </w:tr>
      <w:tr w14:paraId="44CD0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794" w:type="dxa"/>
            <w:tcMar>
              <w:top w:w="-1" w:type="dxa"/>
              <w:left w:w="-1" w:type="dxa"/>
              <w:bottom w:w="-1" w:type="dxa"/>
              <w:right w:w="-1" w:type="dxa"/>
            </w:tcMar>
            <w:vAlign w:val="center"/>
          </w:tcPr>
          <w:p w14:paraId="7992C9C0">
            <w:pPr>
              <w:widowControl w:val="0"/>
              <w:wordWrap/>
              <w:adjustRightInd/>
              <w:snapToGrid/>
              <w:spacing w:line="360" w:lineRule="auto"/>
              <w:ind w:left="0" w:leftChars="0" w:right="0" w:firstLine="0" w:firstLineChars="0"/>
              <w:jc w:val="center"/>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3</w:t>
            </w:r>
          </w:p>
        </w:tc>
        <w:tc>
          <w:tcPr>
            <w:tcW w:w="3507" w:type="dxa"/>
            <w:tcMar>
              <w:top w:w="-1" w:type="dxa"/>
              <w:left w:w="-1" w:type="dxa"/>
              <w:bottom w:w="-1" w:type="dxa"/>
              <w:right w:w="-1" w:type="dxa"/>
            </w:tcMar>
            <w:vAlign w:val="center"/>
          </w:tcPr>
          <w:p w14:paraId="43489853">
            <w:pPr>
              <w:widowControl w:val="0"/>
              <w:wordWrap/>
              <w:adjustRightInd/>
              <w:snapToGrid/>
              <w:spacing w:line="360" w:lineRule="auto"/>
              <w:ind w:left="0" w:leftChars="0" w:right="0" w:firstLine="0" w:firstLineChars="0"/>
              <w:jc w:val="center"/>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湿平衡回流沸点（WERBP）</w:t>
            </w:r>
          </w:p>
        </w:tc>
        <w:tc>
          <w:tcPr>
            <w:tcW w:w="2128" w:type="dxa"/>
            <w:tcMar>
              <w:top w:w="-1" w:type="dxa"/>
              <w:left w:w="-1" w:type="dxa"/>
              <w:bottom w:w="-1" w:type="dxa"/>
              <w:right w:w="-1" w:type="dxa"/>
            </w:tcMar>
            <w:vAlign w:val="center"/>
          </w:tcPr>
          <w:p w14:paraId="7567DA21">
            <w:pPr>
              <w:widowControl w:val="0"/>
              <w:wordWrap/>
              <w:adjustRightInd/>
              <w:snapToGrid/>
              <w:spacing w:line="360" w:lineRule="auto"/>
              <w:ind w:left="0" w:leftChars="0" w:right="0" w:firstLine="0" w:firstLineChars="0"/>
              <w:jc w:val="center"/>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GB 12981—2012</w:t>
            </w:r>
          </w:p>
        </w:tc>
        <w:tc>
          <w:tcPr>
            <w:tcW w:w="2628" w:type="dxa"/>
            <w:tcMar>
              <w:top w:w="-1" w:type="dxa"/>
              <w:left w:w="-1" w:type="dxa"/>
              <w:bottom w:w="-1" w:type="dxa"/>
              <w:right w:w="-1" w:type="dxa"/>
            </w:tcMar>
            <w:vAlign w:val="center"/>
          </w:tcPr>
          <w:p w14:paraId="39EE1C9A">
            <w:pPr>
              <w:widowControl w:val="0"/>
              <w:wordWrap/>
              <w:adjustRightInd/>
              <w:snapToGrid/>
              <w:spacing w:line="360" w:lineRule="auto"/>
              <w:ind w:left="0" w:leftChars="0" w:right="0" w:firstLine="0" w:firstLineChars="0"/>
              <w:jc w:val="center"/>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GB 12981—2012</w:t>
            </w:r>
          </w:p>
        </w:tc>
      </w:tr>
      <w:tr w14:paraId="0F92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794" w:type="dxa"/>
            <w:tcMar>
              <w:top w:w="-1" w:type="dxa"/>
              <w:left w:w="-1" w:type="dxa"/>
              <w:bottom w:w="-1" w:type="dxa"/>
              <w:right w:w="-1" w:type="dxa"/>
            </w:tcMar>
            <w:vAlign w:val="center"/>
          </w:tcPr>
          <w:p w14:paraId="142A223D">
            <w:pPr>
              <w:widowControl w:val="0"/>
              <w:wordWrap/>
              <w:adjustRightInd/>
              <w:snapToGrid/>
              <w:spacing w:line="360" w:lineRule="auto"/>
              <w:ind w:left="0" w:leftChars="0" w:right="0" w:firstLine="0" w:firstLineChars="0"/>
              <w:jc w:val="center"/>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4</w:t>
            </w:r>
          </w:p>
        </w:tc>
        <w:tc>
          <w:tcPr>
            <w:tcW w:w="3507" w:type="dxa"/>
            <w:tcMar>
              <w:top w:w="-1" w:type="dxa"/>
              <w:left w:w="-1" w:type="dxa"/>
              <w:bottom w:w="-1" w:type="dxa"/>
              <w:right w:w="-1" w:type="dxa"/>
            </w:tcMar>
            <w:vAlign w:val="center"/>
          </w:tcPr>
          <w:p w14:paraId="7102A2A6">
            <w:pPr>
              <w:widowControl w:val="0"/>
              <w:wordWrap/>
              <w:adjustRightInd/>
              <w:snapToGrid/>
              <w:spacing w:line="360" w:lineRule="auto"/>
              <w:ind w:left="0" w:leftChars="0" w:right="0" w:firstLine="0" w:firstLineChars="0"/>
              <w:jc w:val="center"/>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pH值</w:t>
            </w:r>
          </w:p>
        </w:tc>
        <w:tc>
          <w:tcPr>
            <w:tcW w:w="2128" w:type="dxa"/>
            <w:tcMar>
              <w:top w:w="-1" w:type="dxa"/>
              <w:left w:w="-1" w:type="dxa"/>
              <w:bottom w:w="-1" w:type="dxa"/>
              <w:right w:w="-1" w:type="dxa"/>
            </w:tcMar>
            <w:vAlign w:val="center"/>
          </w:tcPr>
          <w:p w14:paraId="62EEEAEC">
            <w:pPr>
              <w:widowControl w:val="0"/>
              <w:wordWrap/>
              <w:adjustRightInd/>
              <w:snapToGrid/>
              <w:spacing w:line="360" w:lineRule="auto"/>
              <w:ind w:left="0" w:leftChars="0" w:right="0" w:firstLine="0" w:firstLineChars="0"/>
              <w:jc w:val="center"/>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GB 12981—2012</w:t>
            </w:r>
          </w:p>
        </w:tc>
        <w:tc>
          <w:tcPr>
            <w:tcW w:w="2628" w:type="dxa"/>
            <w:tcMar>
              <w:top w:w="-1" w:type="dxa"/>
              <w:left w:w="-1" w:type="dxa"/>
              <w:bottom w:w="-1" w:type="dxa"/>
              <w:right w:w="-1" w:type="dxa"/>
            </w:tcMar>
            <w:vAlign w:val="center"/>
          </w:tcPr>
          <w:p w14:paraId="1C127545">
            <w:pPr>
              <w:widowControl w:val="0"/>
              <w:wordWrap/>
              <w:adjustRightInd/>
              <w:snapToGrid/>
              <w:spacing w:line="360" w:lineRule="auto"/>
              <w:ind w:left="0" w:leftChars="0" w:right="0" w:firstLine="0" w:firstLineChars="0"/>
              <w:jc w:val="center"/>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GB 12981—2012</w:t>
            </w:r>
          </w:p>
        </w:tc>
      </w:tr>
      <w:tr w14:paraId="2F9D2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794" w:type="dxa"/>
            <w:tcMar>
              <w:top w:w="-1" w:type="dxa"/>
              <w:left w:w="-1" w:type="dxa"/>
              <w:bottom w:w="-1" w:type="dxa"/>
              <w:right w:w="-1" w:type="dxa"/>
            </w:tcMar>
            <w:vAlign w:val="center"/>
          </w:tcPr>
          <w:p w14:paraId="618E2A6F">
            <w:pPr>
              <w:widowControl w:val="0"/>
              <w:wordWrap/>
              <w:adjustRightInd/>
              <w:snapToGrid/>
              <w:spacing w:line="360" w:lineRule="auto"/>
              <w:ind w:left="0" w:leftChars="0" w:right="0" w:firstLine="0" w:firstLineChars="0"/>
              <w:jc w:val="center"/>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p>
        </w:tc>
        <w:tc>
          <w:tcPr>
            <w:tcW w:w="3507" w:type="dxa"/>
            <w:tcMar>
              <w:top w:w="-1" w:type="dxa"/>
              <w:left w:w="-1" w:type="dxa"/>
              <w:bottom w:w="-1" w:type="dxa"/>
              <w:right w:w="-1" w:type="dxa"/>
            </w:tcMar>
            <w:vAlign w:val="center"/>
          </w:tcPr>
          <w:p w14:paraId="70A31317">
            <w:pPr>
              <w:widowControl w:val="0"/>
              <w:wordWrap/>
              <w:adjustRightInd/>
              <w:snapToGrid/>
              <w:spacing w:line="360" w:lineRule="auto"/>
              <w:ind w:left="0" w:leftChars="0" w:right="0" w:firstLine="0" w:firstLineChars="0"/>
              <w:jc w:val="center"/>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蒸发性能</w:t>
            </w:r>
          </w:p>
        </w:tc>
        <w:tc>
          <w:tcPr>
            <w:tcW w:w="2128" w:type="dxa"/>
            <w:tcMar>
              <w:top w:w="-1" w:type="dxa"/>
              <w:left w:w="-1" w:type="dxa"/>
              <w:bottom w:w="-1" w:type="dxa"/>
              <w:right w:w="-1" w:type="dxa"/>
            </w:tcMar>
            <w:vAlign w:val="center"/>
          </w:tcPr>
          <w:p w14:paraId="13AA5758">
            <w:pPr>
              <w:widowControl w:val="0"/>
              <w:wordWrap/>
              <w:adjustRightInd/>
              <w:snapToGrid/>
              <w:spacing w:line="360" w:lineRule="auto"/>
              <w:ind w:left="0" w:leftChars="0" w:right="0" w:firstLine="0" w:firstLineChars="0"/>
              <w:jc w:val="center"/>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GB 12981—2012</w:t>
            </w:r>
          </w:p>
        </w:tc>
        <w:tc>
          <w:tcPr>
            <w:tcW w:w="2628" w:type="dxa"/>
            <w:tcMar>
              <w:top w:w="-1" w:type="dxa"/>
              <w:left w:w="-1" w:type="dxa"/>
              <w:bottom w:w="-1" w:type="dxa"/>
              <w:right w:w="-1" w:type="dxa"/>
            </w:tcMar>
            <w:vAlign w:val="center"/>
          </w:tcPr>
          <w:p w14:paraId="40FE7E6F">
            <w:pPr>
              <w:widowControl w:val="0"/>
              <w:wordWrap/>
              <w:adjustRightInd/>
              <w:snapToGrid/>
              <w:spacing w:line="360" w:lineRule="auto"/>
              <w:ind w:left="0" w:leftChars="0" w:right="0" w:firstLine="0" w:firstLineChars="0"/>
              <w:jc w:val="center"/>
              <w:textAlignment w:val="auto"/>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GB 12981—2012</w:t>
            </w:r>
          </w:p>
        </w:tc>
      </w:tr>
    </w:tbl>
    <w:p w14:paraId="244B3417">
      <w:pPr>
        <w:widowControl w:val="0"/>
        <w:wordWrap/>
        <w:adjustRightInd/>
        <w:snapToGrid/>
        <w:spacing w:line="240" w:lineRule="auto"/>
        <w:ind w:firstLine="440" w:firstLineChars="200"/>
        <w:textAlignment w:val="auto"/>
        <w:rPr>
          <w:rFonts w:hint="eastAsia" w:ascii="Times New Roman" w:hAnsi="Times New Roman" w:eastAsia="宋体" w:cs="宋体"/>
          <w:sz w:val="22"/>
          <w:szCs w:val="28"/>
        </w:rPr>
      </w:pPr>
    </w:p>
    <w:p w14:paraId="7513A616">
      <w:pPr>
        <w:spacing w:line="440" w:lineRule="exact"/>
        <w:ind w:firstLine="420" w:firstLineChars="2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执行企业标准、团体标准、地方标准的产品，检验项目参照上述内容执行。</w:t>
      </w:r>
    </w:p>
    <w:p w14:paraId="7C11BB22">
      <w:pPr>
        <w:spacing w:line="440" w:lineRule="exact"/>
        <w:ind w:firstLine="420" w:firstLineChars="2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凡是注日期的文件，其随后所有的修改单（不包括勘误的内容）或修订版不适用于本细则。凡是不注日期的文件，其最新版本适用于本细则。</w:t>
      </w:r>
    </w:p>
    <w:p w14:paraId="2F891161">
      <w:pPr>
        <w:widowControl w:val="0"/>
        <w:wordWrap/>
        <w:adjustRightInd/>
        <w:snapToGrid/>
        <w:spacing w:line="240" w:lineRule="auto"/>
        <w:ind w:firstLine="440" w:firstLineChars="200"/>
        <w:textAlignment w:val="auto"/>
        <w:rPr>
          <w:rFonts w:hint="eastAsia" w:ascii="Times New Roman" w:hAnsi="Times New Roman" w:eastAsia="宋体" w:cs="宋体"/>
          <w:sz w:val="22"/>
          <w:szCs w:val="28"/>
        </w:rPr>
      </w:pPr>
      <w:bookmarkStart w:id="0" w:name="_GoBack"/>
      <w:bookmarkEnd w:id="0"/>
    </w:p>
    <w:p w14:paraId="3D23C04A">
      <w:pPr>
        <w:spacing w:line="440" w:lineRule="exact"/>
        <w:rPr>
          <w:rFonts w:hint="eastAsia"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3 判定规则</w:t>
      </w:r>
    </w:p>
    <w:p w14:paraId="7D3B2718">
      <w:pPr>
        <w:spacing w:line="440" w:lineRule="exact"/>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3.1 依据标准</w:t>
      </w:r>
    </w:p>
    <w:p w14:paraId="6E4BE813">
      <w:pPr>
        <w:spacing w:line="440" w:lineRule="exact"/>
        <w:ind w:firstLine="420" w:firstLineChars="200"/>
        <w:rPr>
          <w:rFonts w:hint="default" w:ascii="Times New Roman" w:hAnsi="Times New Roman" w:eastAsia="宋体" w:cs="Times New Roman"/>
          <w:szCs w:val="21"/>
          <w:highlight w:val="yellow"/>
          <w:lang w:val="en-US" w:eastAsia="zh-CN"/>
        </w:rPr>
      </w:pPr>
      <w:r>
        <w:rPr>
          <w:rFonts w:hint="eastAsia" w:ascii="Times New Roman" w:hAnsi="Times New Roman" w:eastAsia="宋体" w:cs="Times New Roman"/>
          <w:szCs w:val="21"/>
          <w:lang w:val="en-US" w:eastAsia="zh-CN"/>
        </w:rPr>
        <w:t>GB 12981—2012 机动车辆制动液</w:t>
      </w:r>
    </w:p>
    <w:p w14:paraId="4445A71C">
      <w:pPr>
        <w:spacing w:line="440" w:lineRule="exact"/>
        <w:ind w:firstLine="420" w:firstLineChars="2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现行有效的企业标准、团体标准、地方标准及产品明示质量要求</w:t>
      </w:r>
    </w:p>
    <w:p w14:paraId="53F0A12D">
      <w:pPr>
        <w:spacing w:line="440" w:lineRule="exact"/>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3.2 判定原则</w:t>
      </w:r>
    </w:p>
    <w:p w14:paraId="17C79729">
      <w:pPr>
        <w:spacing w:line="440" w:lineRule="exact"/>
        <w:ind w:firstLine="420" w:firstLineChars="2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经检验，检验项目全部合格，判定为被抽查产品所检项目未发现不合格；检验项目中任一项或一项以上不合格，判定为被抽查产品不合格。</w:t>
      </w:r>
    </w:p>
    <w:p w14:paraId="3034DA86">
      <w:pPr>
        <w:spacing w:line="440" w:lineRule="exact"/>
        <w:ind w:firstLine="420" w:firstLineChars="2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若被检产品明示的质量要求高于本细则中检验项目依据的标准要求时，应按被检产品明示的质量要求判定。</w:t>
      </w:r>
    </w:p>
    <w:p w14:paraId="5FFAEE74">
      <w:pPr>
        <w:spacing w:line="440" w:lineRule="exact"/>
        <w:ind w:firstLine="420" w:firstLineChars="2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若被检产品明示的质量要求低于本细则中检验项目依据的强制性标准要求时，应按照强制性标准要求判定。</w:t>
      </w:r>
    </w:p>
    <w:p w14:paraId="283B12C2">
      <w:pPr>
        <w:spacing w:line="440" w:lineRule="exact"/>
        <w:ind w:firstLine="420" w:firstLineChars="2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若被检产品明示的质量要求低于或包含本细则中检验项目依据的推荐性标准要求时，应以被检产品明示的质量要求判定。</w:t>
      </w:r>
    </w:p>
    <w:p w14:paraId="7E43A497">
      <w:pPr>
        <w:spacing w:line="440" w:lineRule="exact"/>
        <w:ind w:firstLine="420" w:firstLineChars="2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若被检产品明示的质量要求缺少本细则中检验项目依据的强制性标准要求时，应按照强制性标准要求判定。</w:t>
      </w:r>
    </w:p>
    <w:p w14:paraId="3077FA88">
      <w:pPr>
        <w:spacing w:line="440" w:lineRule="exact"/>
        <w:ind w:firstLine="420" w:firstLineChars="2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若被检产品明示的质量要求缺少本细则中检验项目依据的推荐性标准要求时，该项目不参与判定。</w:t>
      </w:r>
    </w:p>
    <w:p w14:paraId="2342E425">
      <w:pPr>
        <w:spacing w:line="440" w:lineRule="exact"/>
        <w:ind w:firstLine="420" w:firstLineChars="200"/>
        <w:rPr>
          <w:rFonts w:hint="eastAsia" w:ascii="Times New Roman" w:hAnsi="Times New Roman" w:eastAsia="宋体" w:cs="Times New Roman"/>
          <w:szCs w:val="21"/>
          <w:lang w:val="en-US" w:eastAsia="zh-CN"/>
        </w:rPr>
      </w:pPr>
    </w:p>
    <w:p w14:paraId="00FCF8DC">
      <w:pPr>
        <w:widowControl w:val="0"/>
        <w:wordWrap/>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5C8A9">
    <w:pPr>
      <w:pStyle w:val="3"/>
    </w:pPr>
    <w:r>
      <w:rPr>
        <w:rFonts w:ascii="Calibri" w:hAnsi="Calibri" w:eastAsia="宋体" w:cs="黑体"/>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0DCF8380">
                          <w:pPr>
                            <w:pStyle w:val="3"/>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5rnJj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gTOHPC0oVffny//Px9+fWN&#10;LZM9fcCKuh7DA0wZUpi0Di3Y9CYVbMiWnq+WqiEyScXlerVel+S2pLM5IZzi6fMAGO+UtywFNQe6&#10;s2ylOH3EOLbOLWma87faGKqLyri/CoSZKkViPHJMURz2w0R875szqe3pumvuaLs5M/eO3EybMQcw&#10;B/s5OAbQh46oLTMvDB+OkUhkbmnCCDsNpnvK6qadSovwPM9dT//R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fmucmMMBAACPAwAADgAAAAAAAAABACAAAAAfAQAAZHJzL2Uyb0RvYy54bWxQ&#10;SwUGAAAAAAYABgBZAQAAVAUAAAAA&#10;">
              <v:fill on="f" focussize="0,0"/>
              <v:stroke on="f"/>
              <v:imagedata o:title=""/>
              <o:lock v:ext="edit" aspectratio="f"/>
              <v:textbox inset="0mm,0mm,0mm,0mm" style="mso-fit-shape-to-text:t;">
                <w:txbxContent>
                  <w:p w14:paraId="0DCF8380">
                    <w:pPr>
                      <w:pStyle w:val="3"/>
                    </w:pPr>
                    <w:r>
                      <w:fldChar w:fldCharType="begin"/>
                    </w:r>
                    <w:r>
                      <w:instrText xml:space="preserve"> PAGE  \* MERGEFORMAT </w:instrText>
                    </w:r>
                    <w:r>
                      <w:fldChar w:fldCharType="separate"/>
                    </w:r>
                    <w:r>
                      <w:t>1</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6E03F13"/>
    <w:rsid w:val="070E6657"/>
    <w:rsid w:val="0878647D"/>
    <w:rsid w:val="0BC24CA5"/>
    <w:rsid w:val="0CD143AE"/>
    <w:rsid w:val="0D343503"/>
    <w:rsid w:val="0F916077"/>
    <w:rsid w:val="13144FF5"/>
    <w:rsid w:val="13347445"/>
    <w:rsid w:val="149E7B87"/>
    <w:rsid w:val="156C55BC"/>
    <w:rsid w:val="175350EE"/>
    <w:rsid w:val="1E7B23CC"/>
    <w:rsid w:val="222A1341"/>
    <w:rsid w:val="23256DAA"/>
    <w:rsid w:val="29B570DA"/>
    <w:rsid w:val="2B4863B8"/>
    <w:rsid w:val="2B830B12"/>
    <w:rsid w:val="2E5977D4"/>
    <w:rsid w:val="2E8C4181"/>
    <w:rsid w:val="2ED81174"/>
    <w:rsid w:val="329359FB"/>
    <w:rsid w:val="38A81BB8"/>
    <w:rsid w:val="408E5B37"/>
    <w:rsid w:val="42C54070"/>
    <w:rsid w:val="43047331"/>
    <w:rsid w:val="43081BD1"/>
    <w:rsid w:val="439E0D9F"/>
    <w:rsid w:val="46050649"/>
    <w:rsid w:val="46F26E20"/>
    <w:rsid w:val="470C0994"/>
    <w:rsid w:val="47575B7A"/>
    <w:rsid w:val="48797678"/>
    <w:rsid w:val="49090450"/>
    <w:rsid w:val="49172B6D"/>
    <w:rsid w:val="4C6D02BD"/>
    <w:rsid w:val="4D326469"/>
    <w:rsid w:val="4E227B86"/>
    <w:rsid w:val="4E3A2F69"/>
    <w:rsid w:val="51F55A16"/>
    <w:rsid w:val="523C53F3"/>
    <w:rsid w:val="534D3EB1"/>
    <w:rsid w:val="541060DF"/>
    <w:rsid w:val="58705DF6"/>
    <w:rsid w:val="592E4311"/>
    <w:rsid w:val="649B4036"/>
    <w:rsid w:val="665A524E"/>
    <w:rsid w:val="68932257"/>
    <w:rsid w:val="6A56149B"/>
    <w:rsid w:val="6E79418D"/>
    <w:rsid w:val="6F743FC6"/>
    <w:rsid w:val="6FD607DD"/>
    <w:rsid w:val="6FF46EB5"/>
    <w:rsid w:val="71BA4C42"/>
    <w:rsid w:val="737C0D9D"/>
    <w:rsid w:val="73C038EC"/>
    <w:rsid w:val="74422159"/>
    <w:rsid w:val="77062301"/>
    <w:rsid w:val="7947444E"/>
    <w:rsid w:val="799A287B"/>
    <w:rsid w:val="7C093CE8"/>
    <w:rsid w:val="7DE06CCB"/>
    <w:rsid w:val="7ECF2FC7"/>
    <w:rsid w:val="7F8873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660</Words>
  <Characters>800</Characters>
  <Lines>0</Lines>
  <Paragraphs>0</Paragraphs>
  <TotalTime>1</TotalTime>
  <ScaleCrop>false</ScaleCrop>
  <LinksUpToDate>false</LinksUpToDate>
  <CharactersWithSpaces>817</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2026-07-02T02:15:13Z</dcterms:modified>
  <dc:title>2026年北京市机动车辆制动液产品质量监督抽查实施细则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C328FC28ABBC4551A2D65B0576E3CDE7_13</vt:lpwstr>
  </property>
  <property fmtid="{D5CDD505-2E9C-101B-9397-08002B2CF9AE}" pid="4" name="KSOTemplateDocerSaveRecord">
    <vt:lpwstr>eyJoZGlkIjoiYjU4YTEyOWI0YTA1NzExMDUyM2E4NzRjZjM1MmQ2OWEiLCJ1c2VySWQiOiIxMTI2NTcyODI0In0=</vt:lpwstr>
  </property>
</Properties>
</file>